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Wet &amp; Regelgeving gemeentebestuur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Reglement van orde Gemeenteraad 2015 -ingaande 1 september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Reglement-van-orde-Gemeenteraad-2015-ingaande-1-septembe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Gedragscode integriteit 2015 dagelijkse bestuurders -getekend-.pdf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Gedragscode-integriteit-2015-dagelijkse-bestuurders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Gedragscode integriteit 2015 volksvertegenwoordigers -getekend-.pdf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Gedragscode-integriteit-2015-volksvertegenwoordig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gemeentelijke Rekenkamercommissie Neerijnen 2010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344,17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gemeentelijke-Rekenkamercommissie-Neerijnen-20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Inspraakverordening gemeente Neerijnen 2004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218,39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Inspraakverordening-gemeente-Neerijnen-20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Handvest Actieve informatieplicht gemeente Neerijnen 2011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125,31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Handvest-actieve-informatieplicht-gemeente-Neerijnen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Actieve informatieplicht gemeente Neerijnen 2011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245,83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Notitie-actieve-informatieplicht-gemeente-Neerijnen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op de Auditcommissie gemeente Neerijnen 2014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Auditcommissie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rechtspositie wethouders, raad- en commissieleden gemeente Neerijnen 2012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rechtspositie-wethouders-raads-en-commissieleden-gemeente-Neerijnen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Financiële verordening gemeente Neerijnen 2009 cfm GW artikel 212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71,50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Financiele-verordening-gemeente-Neerijnen-2009-cfm-GW-artikel-2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onderzoeken doelmatigheid en doeltreffendheid gemeente Neerijnen 2004 cfm GW artikel 213a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93,53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onderzoeken-doelmatigheid-en-doeltreffendheid-gemeente-Neerijnen-2004-cfm-GW-artikel-213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Controleverordening gemeente Neerijnen 2012 cfm GW artikel 213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243,77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Controleverordening-2012-cfm-art-213-GW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ambtelijke bijstand en fractieondersteuning gemeente Neerijnen 2010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813,96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ambtelijke-bijstand-en-fractieondersteuning-gemeente-Neerijnen-20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op de raadadviescommissies gemeente Neerijnen 2010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op-de-raadadviescommissies-201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5" meta:character-count="1480" meta:non-whitespace-character-count="1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