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6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Begroting &amp; Jaarrekening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Verantwoording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31-12-2013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10-juli/19:30/Voorstel-tot-vaststelling-van-de-Verantwoording-2013-jaarverslag---jaarrekening-gemeente-Neerijnen/Verantwoording-201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Programmabegroting 2013
              <text:span text:style-name="T2"/>
            </text:p>
            <text:p text:style-name="P3"/>
          </table:table-cell>
          <table:table-cell table:style-name="Table3.A2" office:value-type="string">
            <text:p text:style-name="P4">01-01-2013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31,09 MB</text:p>
          </table:table-cell>
          <table:table-cell table:style-name="Table3.A2" office:value-type="string">
            <text:p text:style-name="P22">
              <text:a xlink:type="simple" xlink:href="https://raad.neerijnen.nl/Vergaderingen/Gemeenteraad/2012/25-oktober/19:30/Voorstel-Programmabegroting-2013/Programmabegroting-201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5" meta:character-count="223" meta:non-whitespace-character-count="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