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Verantwoording 2012.DOC
              <text:span text:style-name="T2"/>
            </text:p>
            <text:p text:style-name="P3"/>
          </table:table-cell>
          <table:table-cell table:style-name="Table3.A2" office:value-type="string">
            <text:p text:style-name="P4">31-12-2012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4-juli/19:00/Voorstel-tot-vaststelling-van-de-Verantwoording-2012-jaarverslag-en-jaarrekening-gemeente-Neerijnen-en-het-resultaat-conform-het-voorgestelde-te-bestemmen./Verantwoording-201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 2012 en meerjarenbegroting 2013-2015
              <text:span text:style-name="T2"/>
            </text:p>
            <text:p text:style-name="P3"/>
          </table:table-cell>
          <table:table-cell table:style-name="Table3.A2" office:value-type="string">
            <text:p text:style-name="P4">01-01-2012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 Bytes</text:p>
          </table:table-cell>
          <table:table-cell table:style-name="Table3.A2" office:value-type="string">
            <text:p text:style-name="P22">
              <text:a xlink:type="simple" xlink:href="https://raad.neerijnen.nl/Vergaderingen/Gemeenteraad/2011/10-november/19:30/Voorstel-Programmabegroting-2012-en-1e-begrotingswijziging-2012/1964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6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